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Lines w:val="0"/>
        <w:spacing w:after="200" w:before="20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SECTION 09 84 36</w:t>
      </w:r>
    </w:p>
    <w:p w:rsidR="00000000" w:rsidDel="00000000" w:rsidP="00000000" w:rsidRDefault="00000000" w:rsidRPr="00000000" w14:paraId="00000002">
      <w:pPr>
        <w:keepLines w:val="0"/>
        <w:spacing w:after="200" w:before="20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SOUND ABSORBING CEILING UNITS</w:t>
      </w:r>
    </w:p>
    <w:p w:rsidR="00000000" w:rsidDel="00000000" w:rsidP="00000000" w:rsidRDefault="00000000" w:rsidRPr="00000000" w14:paraId="00000003">
      <w:pPr>
        <w:keepLines w:val="0"/>
        <w:spacing w:after="200" w:before="20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0"/>
        <w:spacing w:after="200" w:before="20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(Acoustic Ceiling Grid by CSI Creative)</w:t>
      </w:r>
    </w:p>
    <w:p w:rsidR="00000000" w:rsidDel="00000000" w:rsidP="00000000" w:rsidRDefault="00000000" w:rsidRPr="00000000" w14:paraId="00000005">
      <w:pPr>
        <w:keepLines w:val="0"/>
        <w:spacing w:after="200" w:before="20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Lines w:val="0"/>
        <w:spacing w:after="200" w:before="20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 1 -  GENERAL</w:t>
      </w:r>
    </w:p>
    <w:p w:rsidR="00000000" w:rsidDel="00000000" w:rsidP="00000000" w:rsidRDefault="00000000" w:rsidRPr="00000000" w14:paraId="00000007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SECTION INCLUDES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Folded Grid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Folded Plug Grid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Tile Grid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Section Grid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Plug Grid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Blade Grid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Waffle Grid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ASTM C 423 Sound Absorption and Sound Absorption Coefficients by the Reverberation Room Method.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ASTM E 84/CAN/ULC S102 Standard Test Method for Surface Burning Characteristics of Building Materials.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NFPA 701 (2010; Small Scale Test) Standard Methods of Fire Tests for Flame Resistant Textiles and Films.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NFPA 705 Recommended Practice for a Field Flame Test for Textiles and Films.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 722-06 Flammability Requirements for Fire Retardant Trees and Plants.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Title 19 California State Fire Marshal minimum requirements for flame resistance products identified in Section 13115, California Health and Safety Code.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NF X 70-100 (1986, Tube Furnace Method) Fire Test for Analysis of Pyrolysis and Combustion Gasses. Evaluation of Toxic Fumes.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SUBMITTALS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Product Data: Submit Data sheet or Manufacturer Documentation for each product showing dimensions, materials, and colors.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Shop Drawings: Submit shop drawings of site plans showing details of construction, product configuration, and related construction.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Verification Samples: Submit samples of each chosen material and color.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QUALITY ASSURANCE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Single-Source Responsibility: Provide acoustical components and installation components by a single manufacturer.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Coordination of Work: Coordinate acoustical component work with installers of related work including, but not limited to light fixtures, mechanical systems, electrical systems, and sprinklers.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DELIVERY, STORAGE, AND HANDLING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Deliver acoustical components to project site in original, unopened packages and store them in a fully enclosed space where they will be protected against damage from moisture, direct sunlight, surface contamination, and other causes.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Before installing, allow acoustic components to gradually reach room temperature and a stabilized moisture content.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Handle acoustic components carefully to avoid damage.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PROJECT CONDITIONS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Space Enclosure: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Lines w:val="0"/>
        <w:numPr>
          <w:ilvl w:val="2"/>
          <w:numId w:val="3"/>
        </w:numPr>
        <w:spacing w:after="20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Acoustical Components: All wet work must be complete and dry prior to installation. Installation shall be carried out where the temperature is between 60 degrees F and 100 degrees F. These temperature conditions must be maintained for optimal component lifespan.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WARRANTY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 Room Component: Submit a written manufacturer warranty, agreeing to repair or replace acoustical components that fail within the warranty period. Failures include, but are not limited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Lines w:val="0"/>
        <w:numPr>
          <w:ilvl w:val="2"/>
          <w:numId w:val="3"/>
        </w:numPr>
        <w:spacing w:after="20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Acoustical Room Component: Manufacturer’s defects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Warranty Period: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Lines w:val="0"/>
        <w:numPr>
          <w:ilvl w:val="2"/>
          <w:numId w:val="3"/>
        </w:numPr>
        <w:spacing w:after="20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Acoustical Room Component: Refer to manufacturer’s standard warranty.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Lines w:val="0"/>
        <w:spacing w:after="200" w:before="200" w:line="276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Lines w:val="0"/>
        <w:spacing w:after="200" w:before="200" w:line="276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 2 -  PRODUCTS</w:t>
      </w:r>
    </w:p>
    <w:p w:rsidR="00000000" w:rsidDel="00000000" w:rsidP="00000000" w:rsidRDefault="00000000" w:rsidRPr="00000000" w14:paraId="0000002C">
      <w:pPr>
        <w:keepLines w:val="0"/>
        <w:numPr>
          <w:ilvl w:val="0"/>
          <w:numId w:val="1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MANUFACTURER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Lines w:val="0"/>
        <w:numPr>
          <w:ilvl w:val="1"/>
          <w:numId w:val="1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Accepted Manufacturer: CSI Creative.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Location: 9901 W 74th St, Eden Prairie, MN 55344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Phone: 800-213-0653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info@csiwallpanels.com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Web Address: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www.csiwallpanels.com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Lines w:val="0"/>
        <w:numPr>
          <w:ilvl w:val="1"/>
          <w:numId w:val="1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Substitutions: No substitutions permitted.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Lines w:val="0"/>
        <w:numPr>
          <w:ilvl w:val="0"/>
          <w:numId w:val="1"/>
        </w:numPr>
        <w:spacing w:after="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SOUND ABSORBING CEILING GRID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Lines w:val="0"/>
        <w:numPr>
          <w:ilvl w:val="1"/>
          <w:numId w:val="1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Basis-of-Design: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[Product Name] by CSI Creative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www.csiwallpanels.com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Materials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Lines w:val="0"/>
        <w:numPr>
          <w:ilvl w:val="3"/>
          <w:numId w:val="1"/>
        </w:numPr>
        <w:spacing w:after="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Felt: PoshFelt® 100 percent wool 3mm design felt, 100 percent biodegradable.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Lines w:val="0"/>
        <w:numPr>
          <w:ilvl w:val="3"/>
          <w:numId w:val="1"/>
        </w:numPr>
        <w:spacing w:after="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 Substrate: Soundcore® 100 percent recyclable 12mm PET, 60 percent recycled content.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Lines w:val="0"/>
        <w:numPr>
          <w:ilvl w:val="3"/>
          <w:numId w:val="1"/>
        </w:numPr>
        <w:spacing w:after="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Artificial Greenery: ThermaLeaf® Inherently Flame Retardant Foliage. ThermaLeaf® artificial foliage is a proprietary formulation and manufacturing process whereby the fire retardants are impregnated directly into the raw materials of the foliage resulting in an inherently fire retardant “IFR” product.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Lines w:val="0"/>
        <w:numPr>
          <w:ilvl w:val="4"/>
          <w:numId w:val="1"/>
        </w:numPr>
        <w:spacing w:after="0" w:before="200" w:line="276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ASTM E 84/CAN/ULC S102: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Lines w:val="0"/>
        <w:numPr>
          <w:ilvl w:val="4"/>
          <w:numId w:val="1"/>
        </w:numPr>
        <w:spacing w:after="0" w:before="200" w:line="276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NFPA 701: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Lines w:val="0"/>
        <w:numPr>
          <w:ilvl w:val="4"/>
          <w:numId w:val="1"/>
        </w:numPr>
        <w:spacing w:after="0" w:before="200" w:line="276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NFPA 705: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Lines w:val="0"/>
        <w:numPr>
          <w:ilvl w:val="4"/>
          <w:numId w:val="1"/>
        </w:numPr>
        <w:spacing w:after="0" w:before="200" w:line="276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 722-06: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Lines w:val="0"/>
        <w:numPr>
          <w:ilvl w:val="4"/>
          <w:numId w:val="1"/>
        </w:numPr>
        <w:spacing w:after="0" w:before="200" w:line="276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California Title 19: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Lines w:val="0"/>
        <w:numPr>
          <w:ilvl w:val="4"/>
          <w:numId w:val="1"/>
        </w:numPr>
        <w:spacing w:after="0" w:before="200" w:line="276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NF X 70-100: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Lines w:val="0"/>
        <w:numPr>
          <w:ilvl w:val="3"/>
          <w:numId w:val="1"/>
        </w:numPr>
        <w:spacing w:after="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Contains no formaldehyde, chemical irritants, or harmful substances.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Lines w:val="0"/>
        <w:numPr>
          <w:ilvl w:val="3"/>
          <w:numId w:val="1"/>
        </w:numPr>
        <w:spacing w:after="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VOC info: VOC Free, Berkeley Analytical Certificate ID 190313-01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Panel Thickness: [12-48mm]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Panel Size: []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Felt Color: []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 Substrate Color: []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Edge: [Exposed Edge] [Covered Edge].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Attachment Method: [Magnetic Attachment] [Drop-In Attachment].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Properties: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Lines w:val="0"/>
        <w:numPr>
          <w:ilvl w:val="3"/>
          <w:numId w:val="1"/>
        </w:numPr>
        <w:spacing w:after="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 Performance: NRC (ASTM C423):  0.45 - 1.55 varies by design.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Lines w:val="0"/>
        <w:numPr>
          <w:ilvl w:val="3"/>
          <w:numId w:val="1"/>
        </w:numPr>
        <w:spacing w:after="20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Burning Characteristics: ASTM E-84 Class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Lines w:val="0"/>
        <w:spacing w:after="200" w:before="200" w:line="276" w:lineRule="auto"/>
        <w:ind w:left="28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Lines w:val="0"/>
        <w:spacing w:after="200" w:before="20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 3 -  EXECUTION</w:t>
      </w:r>
    </w:p>
    <w:p w:rsidR="00000000" w:rsidDel="00000000" w:rsidP="00000000" w:rsidRDefault="00000000" w:rsidRPr="00000000" w14:paraId="0000004D">
      <w:pPr>
        <w:keepLines w:val="0"/>
        <w:numPr>
          <w:ilvl w:val="0"/>
          <w:numId w:val="2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EXAMINATION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Proceed with installation only when all wet work is completed, and unsatisfactory site conditions have been corrected.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Lines w:val="0"/>
        <w:numPr>
          <w:ilvl w:val="0"/>
          <w:numId w:val="2"/>
        </w:numPr>
        <w:spacing w:after="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INSTALLATION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Clean substrates and attachment points of dirt, oils, and other substances that could cause issues during installation.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Install units in accordance with manufacturer's instructions and approved submittals.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Lines w:val="0"/>
        <w:numPr>
          <w:ilvl w:val="0"/>
          <w:numId w:val="2"/>
        </w:numPr>
        <w:spacing w:after="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ADJUSTING AND CLEANING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Replace damaged or broken components.</w:t>
      </w:r>
    </w:p>
    <w:p w:rsidR="00000000" w:rsidDel="00000000" w:rsidP="00000000" w:rsidRDefault="00000000" w:rsidRPr="00000000" w14:paraId="00000054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Adjust units for proper position, uniform appearance and operation.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Clean exposed and semi-exposed surfaces using materials acceptable to the manufacturer.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Maintenance of components should consist of: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Lines w:val="0"/>
        <w:numPr>
          <w:ilvl w:val="2"/>
          <w:numId w:val="2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Blot spills from material quickly. Wipe with a damp cloth. If stain persists, apply small quantities of carpet or upholstery shampoo solution with a damp cloth (test on inconspicuous location first). Blot well with a clean cloth after each application. Avoid excessive amounts of water. Ensure adequate ventilation if the product is subject to excessive moisture.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Lines w:val="0"/>
        <w:numPr>
          <w:ilvl w:val="0"/>
          <w:numId w:val="2"/>
        </w:numPr>
        <w:spacing w:after="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WASTE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Waste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Lines w:val="0"/>
        <w:numPr>
          <w:ilvl w:val="2"/>
          <w:numId w:val="2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Coordinate recycling of waste materials with Section [01 74 19 - Construction Waste Management and Disposal].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Lines w:val="0"/>
        <w:numPr>
          <w:ilvl w:val="2"/>
          <w:numId w:val="2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Collect recyclable waste and dispose of or recycle field generated construction waste created during demolition, construction or final cleaning.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Lines w:val="0"/>
        <w:numPr>
          <w:ilvl w:val="2"/>
          <w:numId w:val="2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Remove recycling containers and bins from 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Lines w:val="0"/>
        <w:numPr>
          <w:ilvl w:val="0"/>
          <w:numId w:val="2"/>
        </w:numPr>
        <w:spacing w:after="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PROTECTION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Lines w:val="0"/>
        <w:numPr>
          <w:ilvl w:val="1"/>
          <w:numId w:val="2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Protect finished installation from dust and damage from subsequent and ongoing construction activity.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Lines w:val="0"/>
        <w:spacing w:after="200" w:before="20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END OF SECTION</w:t>
      </w:r>
    </w:p>
    <w:p w:rsidR="00000000" w:rsidDel="00000000" w:rsidP="00000000" w:rsidRDefault="00000000" w:rsidRPr="00000000" w14:paraId="00000060">
      <w:pPr>
        <w:keepLines w:val="0"/>
        <w:spacing w:after="200" w:before="20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2.%1. 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3.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1.%1. 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color w:val="555555"/>
        <w:sz w:val="22"/>
        <w:szCs w:val="22"/>
        <w:lang w:val="en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ind w:left="1440" w:right="1440" w:firstLine="0"/>
    </w:pPr>
    <w:rPr>
      <w:i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360" w:lineRule="auto"/>
    </w:pPr>
    <w:rPr>
      <w:rFonts w:ascii="Roboto" w:cs="Roboto" w:eastAsia="Roboto" w:hAnsi="Roboto"/>
      <w:b w:val="1"/>
      <w:color w:val="555555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ind w:left="1440" w:right="1440" w:firstLine="0"/>
    </w:pPr>
    <w:rPr>
      <w:i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360" w:lineRule="auto"/>
    </w:pPr>
    <w:rPr>
      <w:rFonts w:ascii="Roboto" w:cs="Roboto" w:eastAsia="Roboto" w:hAnsi="Roboto"/>
      <w:b w:val="1"/>
      <w:color w:val="555555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siwallpanels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csiwallpanels.com" TargetMode="External"/><Relationship Id="rId8" Type="http://schemas.openxmlformats.org/officeDocument/2006/relationships/hyperlink" Target="http://www.csiwallpanel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e9oTjvYpccjWe7JOmGaJtVco2Q==">AMUW2mWuPGAWDzjZdM4RdIsZCReHJ/fGIPpFMeIXLtL5y1Hhz4S+qLvrjq7bhwwdYl9RDUynnWzYc0jkpGqiyoWZJVavlgqBjHeNuYsyFDvfR5RfgZRgLjM=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