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09 84 33</w:t>
      </w:r>
    </w:p>
    <w:p w:rsidR="00000000" w:rsidDel="00000000" w:rsidP="00000000" w:rsidRDefault="00000000" w:rsidRPr="00000000" w14:paraId="0000000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SOUND ABSORBING WALL UNITS</w:t>
      </w:r>
    </w:p>
    <w:p w:rsidR="00000000" w:rsidDel="00000000" w:rsidP="00000000" w:rsidRDefault="00000000" w:rsidRPr="00000000" w14:paraId="00000003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(Acoustic Dividers by CSI Creative)</w:t>
      </w:r>
    </w:p>
    <w:p w:rsidR="00000000" w:rsidDel="00000000" w:rsidP="00000000" w:rsidRDefault="00000000" w:rsidRPr="00000000" w14:paraId="0000000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INCLUDES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Sliding Single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Sliding Stacked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Sliding 5mm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Suspended Single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Suspended Stacked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Suspended 5mm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Suspended Sections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C 423 Sound Absorption and Sound Absorption Coefficients by the Reverberation Room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 Standard Test Method for Surface Burning Characteristics of Building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 (2010; Small Scale Test) Standard Methods of Fire Tests for Flame Resistant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 Recommended Practice for a Field Flame Test for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 Flammability Requirements for Fire Retardant Trees and Plants.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19 California State Fire Marshal minimum requirements for flame resistance products identified in Section 13115, California Health and Safety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 (1986, Tube Furnace Method) Fire Test for Analysis of Pyrolysis and Combustion Gasses. Evaluation of Toxic Fumes.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Data: Submit Data sheet or Manufacturer Documentation for each product showing dimensions, materials, and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Shop Drawings: Submit shop drawings of site plans showing details of construction, product configuration, and related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Verification Samples: Submit samples of each chosen material and color.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Single-Source Responsibility: Provide acoustical components and installation components by a single manufacturer.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DELIVERY, STORAGE, AND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installing, allow acoustic components to gradually reach room temperature and a stabilized moisture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acoustic components carefully to avoid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Space Enclosure: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Manufacturer’s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Refer to manufacturer’s standard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2C">
      <w:pPr>
        <w:keepLines w:val="0"/>
        <w:numPr>
          <w:ilvl w:val="0"/>
          <w:numId w:val="1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Accepted Manufacturer: CSI Creative.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9901 W 74th St, Eden Prairie, MN 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800-213-0653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Address: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Substitutions: No substitutions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numPr>
          <w:ilvl w:val="0"/>
          <w:numId w:val="1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SOUND ABSORBING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Basis-of-Design: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[Product Name] by CSI Creative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Felt: PoshFelt® 100 percent wool 3mm design felt, 100 percent biodegradable.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Substrate: Soundcore® 100 percent recyclable 12mm PET, 60 percent recycled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Title 19: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Contains no formaldehyde, chemical irritants, or harmful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 info: VOC Free, Berkeley Analytical Certificate ID 190313-01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Thickness: [12-48mm]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Size: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Edge: [Exposed Edge] [Covered Edge].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Attachment Method: [Direct Attachment] [Direct 5mm Attachment] [Individual Cable Attachment] [Individual Cable 5mm Attachment] [Sliding System] [5mm Sliding System].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Performance: NRC (ASTM C423):  0.45 - 1.55 varies by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0"/>
        <w:numPr>
          <w:ilvl w:val="3"/>
          <w:numId w:val="1"/>
        </w:numPr>
        <w:spacing w:after="20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Burning Characteristics: ASTM E-84 Class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0"/>
        <w:spacing w:after="200" w:before="200" w:line="276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4D">
      <w:pPr>
        <w:keepLines w:val="0"/>
        <w:numPr>
          <w:ilvl w:val="0"/>
          <w:numId w:val="2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Proceed with installation only when all wet work is completed, and unsatisfactory site conditions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substrates and attachment points of dirt, oils, and other substances that could cause issues during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 units in accordance with manufacturer's instructions and approved submittals.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ADJUSTING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4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 units for proper position, uniform appearance and 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exposed and semi-exposed surfaces using materials acceptable to the manufacturer.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Maintenance of components should consist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Coordinate recycling of waste materials with Section [01 74 19 - Construction Waste Management and Disposal].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recyclable waste and dispose of or recycle field generated construction waste created during demolition, construction or final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recycling containers and bins from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0"/>
        <w:numPr>
          <w:ilvl w:val="1"/>
          <w:numId w:val="2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finished installation from dust and damage from subsequent and ongoing construction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SECTION</w:t>
      </w:r>
    </w:p>
    <w:p w:rsidR="00000000" w:rsidDel="00000000" w:rsidP="00000000" w:rsidRDefault="00000000" w:rsidRPr="00000000" w14:paraId="00000060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3.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555555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sicreat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sicreative.com" TargetMode="External"/><Relationship Id="rId8" Type="http://schemas.openxmlformats.org/officeDocument/2006/relationships/hyperlink" Target="mailto:info@csicreativ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00j3ct2kCo5uz3b4kiTqyhsEDA==">AMUW2mWUpXPtvyb4RaQC+GqMFKIuqgRQ7x22Z8kAO9W/USNrK0fSrq9E95JFGoiX0Hh1WfwpBj6JU3pacQOZlq+gM9FADZKFXdB+CKSjoAi5PNruXu0NmLc=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