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Lines w:val="0"/>
        <w:spacing w:after="200" w:before="20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SECTION 09 84 36</w:t>
      </w:r>
    </w:p>
    <w:p w:rsidR="00000000" w:rsidDel="00000000" w:rsidP="00000000" w:rsidRDefault="00000000" w:rsidRPr="00000000" w14:paraId="00000002">
      <w:pPr>
        <w:keepLines w:val="0"/>
        <w:spacing w:after="200" w:before="20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SOUND ABSORBING CEILING UNITS</w:t>
      </w:r>
    </w:p>
    <w:p w:rsidR="00000000" w:rsidDel="00000000" w:rsidP="00000000" w:rsidRDefault="00000000" w:rsidRPr="00000000" w14:paraId="00000003">
      <w:pPr>
        <w:keepLines w:val="0"/>
        <w:spacing w:after="200" w:before="20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Lines w:val="0"/>
        <w:spacing w:after="200" w:before="20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(Acoustic Clouds by CSI Creative)</w:t>
      </w:r>
    </w:p>
    <w:p w:rsidR="00000000" w:rsidDel="00000000" w:rsidP="00000000" w:rsidRDefault="00000000" w:rsidRPr="00000000" w14:paraId="00000005">
      <w:pPr>
        <w:keepLines w:val="0"/>
        <w:spacing w:after="200" w:before="20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Lines w:val="0"/>
        <w:spacing w:after="200" w:before="20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PART 1 -  GENERAL</w:t>
      </w:r>
    </w:p>
    <w:p w:rsidR="00000000" w:rsidDel="00000000" w:rsidP="00000000" w:rsidRDefault="00000000" w:rsidRPr="00000000" w14:paraId="00000007">
      <w:pPr>
        <w:keepLines w:val="0"/>
        <w:numPr>
          <w:ilvl w:val="0"/>
          <w:numId w:val="3"/>
        </w:numPr>
        <w:spacing w:after="20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SECTION INCLUDES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Connect Clouds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Waffle Clouds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Waffle Slanted Clouds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Waffle Folded Clouds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Profile Plus Clouds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Profile Clouds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Profile Framed Clouds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Stacked Clouds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Faceted Clouds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Notched Clouds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Blade Clouds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Lines w:val="0"/>
        <w:numPr>
          <w:ilvl w:val="0"/>
          <w:numId w:val="3"/>
        </w:numPr>
        <w:spacing w:after="20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ASTM C 423 Sound Absorption and Sound Absorption Coefficients by the Reverberation Room Method.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ASTM E 84/CAN/ULC S102 Standard Test Method for Surface Burning Characteristics of Building Materials.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NFPA 701 (2010; Small Scale Test) Standard Methods of Fire Tests for Flame Resistant Textiles and Films.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NFPA 705 Recommended Practice for a Field Flame Test for Textiles and Films.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SIN 722-06 Flammability Requirements for Fire Retardant Trees and Plants.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Title 19 California State Fire Marshal minimum requirements for flame resistance products identified in Section 13115, California Health and Safety Code.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NF X 70-100 (1986, Tube Furnace Method) Fire Test for Analysis of Pyrolysis and Combustion Gasses. Evaluation of Toxic Fumes.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Lines w:val="0"/>
        <w:numPr>
          <w:ilvl w:val="0"/>
          <w:numId w:val="3"/>
        </w:numPr>
        <w:spacing w:after="20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SUBMITTALS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Product Data: Submit Data sheet or Manufacturer Documentation for each product showing dimensions, materials, and colors.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Shop Drawings: Submit shop drawings of site plans showing details of construction, product configuration, and related construction.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Verification Samples: Submit samples of each chosen material and color.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Lines w:val="0"/>
        <w:numPr>
          <w:ilvl w:val="0"/>
          <w:numId w:val="3"/>
        </w:numPr>
        <w:spacing w:after="20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QUALITY ASSURANCE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Single-Source Responsibility: Provide acoustical components and installation components by a single manufacturer.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Coordination of Work: Coordinate acoustical component work with installers of related work including, but not limited to light fixtures, mechanical systems, electrical systems, and sprinklers.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Lines w:val="0"/>
        <w:numPr>
          <w:ilvl w:val="0"/>
          <w:numId w:val="3"/>
        </w:numPr>
        <w:spacing w:after="20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DELIVERY, STORAGE, AND HANDLING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Deliver acoustical components to project site in original, unopened packages and store them in a fully enclosed space where they will be protected against damage from moisture, direct sunlight, surface contamination, and other causes.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Before installing, allow acoustic components to gradually reach room temperature and a stabilized moisture content.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Handle acoustic components carefully to avoid damage.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Lines w:val="0"/>
        <w:numPr>
          <w:ilvl w:val="0"/>
          <w:numId w:val="3"/>
        </w:numPr>
        <w:spacing w:after="20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PROJECT CONDITIONS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Space Enclosure: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Lines w:val="0"/>
        <w:numPr>
          <w:ilvl w:val="2"/>
          <w:numId w:val="3"/>
        </w:numPr>
        <w:spacing w:after="20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Acoustical Components: All wet work must be complete and dry prior to installation. Installation shall be carried out where the temperature is between 60 degrees F and 100 degrees F. These temperature conditions must be maintained for optimal component lifespan.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Lines w:val="0"/>
        <w:numPr>
          <w:ilvl w:val="0"/>
          <w:numId w:val="3"/>
        </w:numPr>
        <w:spacing w:after="20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WARRANTY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Acoustic Room Component: Submit a written manufacturer warranty, agreeing to repair or replace acoustical components that fail within the warranty period. Failures include, but are not limited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Lines w:val="0"/>
        <w:numPr>
          <w:ilvl w:val="2"/>
          <w:numId w:val="3"/>
        </w:numPr>
        <w:spacing w:after="20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Acoustical Room Component: Manufacturer’s defects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Warranty Period: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Lines w:val="0"/>
        <w:numPr>
          <w:ilvl w:val="2"/>
          <w:numId w:val="3"/>
        </w:numPr>
        <w:spacing w:after="20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Acoustical Room Component: Refer to manufacturer’s standard warranty.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Lines w:val="0"/>
        <w:spacing w:after="200" w:before="200" w:line="276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Lines w:val="0"/>
        <w:spacing w:after="200" w:before="200" w:line="276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PART 2 -  PRODUCTS</w:t>
      </w:r>
    </w:p>
    <w:p w:rsidR="00000000" w:rsidDel="00000000" w:rsidP="00000000" w:rsidRDefault="00000000" w:rsidRPr="00000000" w14:paraId="00000030">
      <w:pPr>
        <w:keepLines w:val="0"/>
        <w:numPr>
          <w:ilvl w:val="0"/>
          <w:numId w:val="1"/>
        </w:numPr>
        <w:spacing w:after="20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MANUFACTURER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Lines w:val="0"/>
        <w:numPr>
          <w:ilvl w:val="1"/>
          <w:numId w:val="1"/>
        </w:numPr>
        <w:spacing w:after="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Accepted Manufacturer: CSI Creative.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Location: 9901 W 74th St, Eden Prairie, MN 55344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Phone: 800-213-0653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Email: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info@csiwallpanels.com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Web Address: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www.csiwallpanels.com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Lines w:val="0"/>
        <w:numPr>
          <w:ilvl w:val="1"/>
          <w:numId w:val="1"/>
        </w:numPr>
        <w:spacing w:after="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Substitutions: No substitutions permitted.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Lines w:val="0"/>
        <w:numPr>
          <w:ilvl w:val="0"/>
          <w:numId w:val="1"/>
        </w:numPr>
        <w:spacing w:after="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SOUND ABSORBING CLOUDS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Lines w:val="0"/>
        <w:numPr>
          <w:ilvl w:val="1"/>
          <w:numId w:val="1"/>
        </w:numPr>
        <w:spacing w:after="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Basis-of-Design: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[Product Name] by CSI Creative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www.csiwallpanels.com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Materials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Lines w:val="0"/>
        <w:numPr>
          <w:ilvl w:val="3"/>
          <w:numId w:val="1"/>
        </w:numPr>
        <w:spacing w:after="0" w:before="200" w:line="276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Felt: PoshFelt® 100 percent wool 3mm design felt, 100 percent biodegradable.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Lines w:val="0"/>
        <w:numPr>
          <w:ilvl w:val="3"/>
          <w:numId w:val="1"/>
        </w:numPr>
        <w:spacing w:after="0" w:before="200" w:line="276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Acoustic Substrate: Soundcore® 100 percent recyclable 12mm PET, 60 percent recycled content.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Lines w:val="0"/>
        <w:numPr>
          <w:ilvl w:val="3"/>
          <w:numId w:val="1"/>
        </w:numPr>
        <w:spacing w:after="0" w:before="200" w:line="276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Artificial Greenery: ThermaLeaf® Inherently Flame Retardant Foliage. ThermaLeaf® artificial foliage is a proprietary formulation and manufacturing process whereby the fire retardants are impregnated directly into the raw materials of the foliage resulting in an inherently fire retardant “IFR” product.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Lines w:val="0"/>
        <w:numPr>
          <w:ilvl w:val="4"/>
          <w:numId w:val="1"/>
        </w:numPr>
        <w:spacing w:after="0" w:before="200" w:line="276" w:lineRule="auto"/>
        <w:ind w:left="360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ASTM E 84/CAN/ULC S102: 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Lines w:val="0"/>
        <w:numPr>
          <w:ilvl w:val="4"/>
          <w:numId w:val="1"/>
        </w:numPr>
        <w:spacing w:after="0" w:before="200" w:line="276" w:lineRule="auto"/>
        <w:ind w:left="360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NFPA 701: 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Lines w:val="0"/>
        <w:numPr>
          <w:ilvl w:val="4"/>
          <w:numId w:val="1"/>
        </w:numPr>
        <w:spacing w:after="0" w:before="200" w:line="276" w:lineRule="auto"/>
        <w:ind w:left="360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NFPA 705: 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Lines w:val="0"/>
        <w:numPr>
          <w:ilvl w:val="4"/>
          <w:numId w:val="1"/>
        </w:numPr>
        <w:spacing w:after="0" w:before="200" w:line="276" w:lineRule="auto"/>
        <w:ind w:left="360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SIN 722-06: 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Lines w:val="0"/>
        <w:numPr>
          <w:ilvl w:val="4"/>
          <w:numId w:val="1"/>
        </w:numPr>
        <w:spacing w:after="0" w:before="200" w:line="276" w:lineRule="auto"/>
        <w:ind w:left="360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California Title 19: 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Lines w:val="0"/>
        <w:numPr>
          <w:ilvl w:val="4"/>
          <w:numId w:val="1"/>
        </w:numPr>
        <w:spacing w:after="0" w:before="200" w:line="276" w:lineRule="auto"/>
        <w:ind w:left="360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NF X 70-100: 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Lines w:val="0"/>
        <w:numPr>
          <w:ilvl w:val="3"/>
          <w:numId w:val="1"/>
        </w:numPr>
        <w:spacing w:after="0" w:before="200" w:line="276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Contains no formaldehyde, chemical irritants, or harmful substances.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Lines w:val="0"/>
        <w:numPr>
          <w:ilvl w:val="3"/>
          <w:numId w:val="1"/>
        </w:numPr>
        <w:spacing w:after="0" w:before="200" w:line="276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VOC info: VOC Free, Berkeley Analytical Certificate ID 190313-01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Panel Thickness: [12-48mm]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Panel Size: []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Felt Color: []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Acoustic Substrate Color: []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Edge: [Exposed Edge] [Covered Edge].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Attachment Method: [Channel Suspension] [Individual Suspension] [Direct Attachment].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Properties: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Lines w:val="0"/>
        <w:numPr>
          <w:ilvl w:val="3"/>
          <w:numId w:val="1"/>
        </w:numPr>
        <w:spacing w:after="0" w:before="200" w:line="276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Acoustic Performance: NRC (ASTM C423):  0.45 - 1.55 varies by design.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Lines w:val="0"/>
        <w:numPr>
          <w:ilvl w:val="3"/>
          <w:numId w:val="1"/>
        </w:numPr>
        <w:spacing w:after="200" w:before="200" w:line="276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Burning Characteristics: ASTM E-84 Class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Lines w:val="0"/>
        <w:spacing w:after="200" w:before="200" w:line="276" w:lineRule="auto"/>
        <w:ind w:left="288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Lines w:val="0"/>
        <w:spacing w:after="200" w:before="20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PART 3 -  EXECUTION</w:t>
      </w:r>
    </w:p>
    <w:p w:rsidR="00000000" w:rsidDel="00000000" w:rsidP="00000000" w:rsidRDefault="00000000" w:rsidRPr="00000000" w14:paraId="00000051">
      <w:pPr>
        <w:keepLines w:val="0"/>
        <w:numPr>
          <w:ilvl w:val="0"/>
          <w:numId w:val="2"/>
        </w:numPr>
        <w:spacing w:after="20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EXAMINATION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Lines w:val="0"/>
        <w:numPr>
          <w:ilvl w:val="1"/>
          <w:numId w:val="2"/>
        </w:numPr>
        <w:spacing w:after="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Proceed with installation only when all wet work is completed, and unsatisfactory site conditions have been corrected.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Lines w:val="0"/>
        <w:numPr>
          <w:ilvl w:val="0"/>
          <w:numId w:val="2"/>
        </w:numPr>
        <w:spacing w:after="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INSTALLATION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Lines w:val="0"/>
        <w:numPr>
          <w:ilvl w:val="1"/>
          <w:numId w:val="2"/>
        </w:numPr>
        <w:spacing w:after="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Clean substrates and attachment points of dirt, oils, and other substances that could cause issues during installation.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Lines w:val="0"/>
        <w:numPr>
          <w:ilvl w:val="1"/>
          <w:numId w:val="2"/>
        </w:numPr>
        <w:spacing w:after="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Install units in accordance with manufacturer's instructions and approved submittals.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Lines w:val="0"/>
        <w:numPr>
          <w:ilvl w:val="0"/>
          <w:numId w:val="2"/>
        </w:numPr>
        <w:spacing w:after="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ADJUSTING AND CLEANING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Lines w:val="0"/>
        <w:numPr>
          <w:ilvl w:val="1"/>
          <w:numId w:val="2"/>
        </w:numPr>
        <w:spacing w:after="0" w:before="20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Replace damaged or broken components.</w:t>
      </w:r>
    </w:p>
    <w:p w:rsidR="00000000" w:rsidDel="00000000" w:rsidP="00000000" w:rsidRDefault="00000000" w:rsidRPr="00000000" w14:paraId="00000058">
      <w:pPr>
        <w:keepLines w:val="0"/>
        <w:numPr>
          <w:ilvl w:val="1"/>
          <w:numId w:val="2"/>
        </w:numPr>
        <w:spacing w:after="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Adjust units for proper position, uniform appearance and operation.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Lines w:val="0"/>
        <w:numPr>
          <w:ilvl w:val="1"/>
          <w:numId w:val="2"/>
        </w:numPr>
        <w:spacing w:after="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Clean exposed and semi-exposed surfaces using materials acceptable to the manufacturer.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Lines w:val="0"/>
        <w:numPr>
          <w:ilvl w:val="1"/>
          <w:numId w:val="2"/>
        </w:numPr>
        <w:spacing w:after="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Maintenance of components should consist of: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Lines w:val="0"/>
        <w:numPr>
          <w:ilvl w:val="2"/>
          <w:numId w:val="2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Blot spills from material quickly. Wipe with a damp cloth. If stain persists, apply small quantities of carpet or upholstery shampoo solution with a damp cloth (test on inconspicuous location first). Blot well with a clean cloth after each application. Avoid excessive amounts of water. Ensure adequate ventilation if the product is subject to excessive moisture.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Lines w:val="0"/>
        <w:numPr>
          <w:ilvl w:val="0"/>
          <w:numId w:val="2"/>
        </w:numPr>
        <w:spacing w:after="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WASTE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Lines w:val="0"/>
        <w:numPr>
          <w:ilvl w:val="1"/>
          <w:numId w:val="2"/>
        </w:numPr>
        <w:spacing w:after="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Waste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Lines w:val="0"/>
        <w:numPr>
          <w:ilvl w:val="2"/>
          <w:numId w:val="2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Coordinate recycling of waste materials with Section [01 74 19 - Construction Waste Management and Disposal].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Lines w:val="0"/>
        <w:numPr>
          <w:ilvl w:val="2"/>
          <w:numId w:val="2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Collect recyclable waste and dispose of or recycle field generated construction waste created during demolition, construction or final cleaning.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Lines w:val="0"/>
        <w:numPr>
          <w:ilvl w:val="2"/>
          <w:numId w:val="2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Remove recycling containers and bins from site.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Lines w:val="0"/>
        <w:numPr>
          <w:ilvl w:val="0"/>
          <w:numId w:val="2"/>
        </w:numPr>
        <w:spacing w:after="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PROTECTION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Lines w:val="0"/>
        <w:numPr>
          <w:ilvl w:val="1"/>
          <w:numId w:val="2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Protect finished installation from dust and damage from subsequent and ongoing construction activity.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Lines w:val="0"/>
        <w:spacing w:after="200" w:before="20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END OF SECTION</w:t>
      </w:r>
    </w:p>
    <w:p w:rsidR="00000000" w:rsidDel="00000000" w:rsidP="00000000" w:rsidRDefault="00000000" w:rsidRPr="00000000" w14:paraId="00000064">
      <w:pPr>
        <w:keepLines w:val="0"/>
        <w:spacing w:after="200" w:before="20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2.%1. 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3.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1.%1. 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color w:val="555555"/>
        <w:sz w:val="22"/>
        <w:szCs w:val="22"/>
        <w:lang w:val="en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ind w:left="1440" w:right="1440" w:firstLine="0"/>
    </w:pPr>
    <w:rPr>
      <w:i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line="360" w:lineRule="auto"/>
    </w:pPr>
    <w:rPr>
      <w:rFonts w:ascii="Roboto" w:cs="Roboto" w:eastAsia="Roboto" w:hAnsi="Roboto"/>
      <w:b w:val="1"/>
      <w:color w:val="555555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ind w:left="1440" w:right="1440" w:firstLine="0"/>
    </w:pPr>
    <w:rPr>
      <w:i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line="360" w:lineRule="auto"/>
    </w:pPr>
    <w:rPr>
      <w:rFonts w:ascii="Roboto" w:cs="Roboto" w:eastAsia="Roboto" w:hAnsi="Roboto"/>
      <w:b w:val="1"/>
      <w:color w:val="555555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</w:pPr>
    <w:rPr>
      <w:b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</w:pPr>
    <w:rPr>
      <w:b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siwallpanels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csiwallpanels.com" TargetMode="External"/><Relationship Id="rId8" Type="http://schemas.openxmlformats.org/officeDocument/2006/relationships/hyperlink" Target="http://www.csiwallpanels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+sDcBvdKiQKJNVIVpfj3rwU4jA==">AMUW2mX9Y+HyxWElqWAiLUTUeg71OtPBUNjKZMql3VglMuA0o/tvYNSFP/XewR8LO6w2PnqP6jcTA4bBF60k1DlB4FDQ8kidAC/kyRCBna4wsWajoctSQ1M=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